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279</w:t>
      </w:r>
    </w:p>
    <w:p>
      <w:r>
        <w:t>Bundesgericht (BGE), 1972-11-10, DE</w:t>
      </w:r>
    </w:p>
    <w:p>
      <w:r>
        <w:rPr>
          <w:b/>
        </w:rPr>
        <w:t xml:space="preserve">Quelle: </w:t>
      </w:r>
      <w:r>
        <w:t>https://mcp.opencaselaw.ch/entscheid/bge_98 IV 279</w:t>
      </w:r>
    </w:p>
    <w:p>
      <w:r>
        <w:t>FR: ATF 98 IV 279</w:t>
      </w:r>
    </w:p>
    <w:p>
      <w:r>
        <w:t>IT: DTF 98 IV 279</w:t>
      </w:r>
    </w:p>
    <w:p>
      <w:pPr>
        <w:pStyle w:val="Heading2"/>
      </w:pPr>
      <w:r>
        <w:t>Regeste</w:t>
      </w:r>
    </w:p>
    <w:p>
      <w:r>
        <w:t>Regeste Art. 27 Abs. 1 und 44 Abs. 1 SVG, Art. 13 Abs. 3 VRV und Art. 53 Abs. 1 SSV; Verlassen des Fahrstreifens. Wer von Anfang an bewusst falsch einspurt, um auf diese Weise rascher vorwärts zu kommen, macht sich wegen vorsätzlicher Missachtung der Einspurmarkierung strafbar (Erw. 1c). Art. 26 SVG; Vertrauensprinzip im Strassenverkehr. Sofern nicht besondere Umstände dagegen sprechen, darf der sich korrekt verhaltende Verkehrsteilnehmer damit rechnen, dass ein anderer Verkehrsteilnehmer den Verkehr nicht durch pflichtwidriges Verhalten gefährdet; diese Grundregel gilt auch für den Wartepflichtigen (Erw. 1 d). Art. 20 StGB; Rechtsirrtum (Erw. 2 a und b).</w:t>
      </w:r>
    </w:p>
    <w:p>
      <w:pPr>
        <w:pStyle w:val="Heading2"/>
      </w:pPr>
      <w:r>
        <w:t>Erwägungen</w:t>
      </w:r>
    </w:p>
    <w:p>
      <w:r>
        <w:rPr>
          <w:b/>
        </w:rPr>
        <w:t>E. 1</w:t>
      </w:r>
    </w:p>
    <w:p>
      <w:r>
        <w:t>Die Nichtigkeitsbeschwerde Durrer wird gutgeheissen, der angefochtene Entscheid aufgehoben und die Sache zur Freisprechung an die Vorinstanz zurückgewiesen.</w:t>
      </w:r>
    </w:p>
    <w:p>
      <w:r>
        <w:rPr>
          <w:b/>
        </w:rPr>
        <w:t>E. 2</w:t>
      </w:r>
    </w:p>
    <w:p>
      <w:r>
        <w:t>Die Nichtigkeitsbeschwerde Imfeld wird teilweise gutgeheissen, der angefochtene Entscheid entsprechend aufgehoben und die Sache zu neuer Beurteilung im Sinne der Erwägungen an die Vorisntanz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